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55" w:hRule="atLeast"/>
                <w:tblCellSpacing w:w="0" w:type="dxa"/>
              </w:trPr>
              <w:tc>
                <w:tcPr>
                  <w:tcW w:w="8306" w:type="dxa"/>
                  <w:shd w:val="clear"/>
                  <w:vAlign w:val="center"/>
                </w:tcPr>
                <w:p>
                  <w:pPr>
                    <w:keepNext w:val="0"/>
                    <w:keepLines w:val="0"/>
                    <w:widowControl/>
                    <w:suppressLineNumbers w:val="0"/>
                    <w:spacing w:line="432" w:lineRule="auto"/>
                    <w:jc w:val="center"/>
                    <w:rPr>
                      <w:rFonts w:hint="eastAsia" w:ascii="宋体" w:hAnsi="宋体" w:eastAsia="宋体" w:cs="宋体"/>
                      <w:b/>
                      <w:color w:val="185895"/>
                      <w:sz w:val="36"/>
                      <w:szCs w:val="36"/>
                    </w:rPr>
                  </w:pPr>
                  <w:bookmarkStart w:id="0" w:name="_GoBack"/>
                  <w:r>
                    <w:rPr>
                      <w:rFonts w:hint="eastAsia" w:ascii="宋体" w:hAnsi="宋体" w:eastAsia="宋体" w:cs="宋体"/>
                      <w:b/>
                      <w:color w:val="185895"/>
                      <w:kern w:val="0"/>
                      <w:sz w:val="36"/>
                      <w:szCs w:val="36"/>
                      <w:lang w:val="en-US" w:eastAsia="zh-CN" w:bidi="ar"/>
                    </w:rPr>
                    <w:t>关于一般企业财务报表格式有关问题的解读</w:t>
                  </w:r>
                  <w:bookmarkEnd w:id="0"/>
                  <w:r>
                    <w:rPr>
                      <w:rFonts w:hint="eastAsia" w:ascii="宋体" w:hAnsi="宋体" w:eastAsia="宋体" w:cs="宋体"/>
                      <w:b/>
                      <w:color w:val="185895"/>
                      <w:kern w:val="0"/>
                      <w:sz w:val="36"/>
                      <w:szCs w:val="36"/>
                      <w:lang w:val="en-US" w:eastAsia="zh-CN" w:bidi="ar"/>
                    </w:rPr>
                    <w:t xml:space="preserve"> </w: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pStyle w:val="8"/>
                    <w:keepNext w:val="0"/>
                    <w:keepLines w:val="0"/>
                    <w:widowControl/>
                    <w:suppressLineNumbers w:val="0"/>
                    <w:spacing w:line="432" w:lineRule="auto"/>
                  </w:pPr>
                  <w:r>
                    <w:rPr>
                      <w:vanish/>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宋体" w:hAnsi="宋体" w:eastAsia="宋体" w:cs="宋体"/>
                      <w:sz w:val="24"/>
                      <w:szCs w:val="24"/>
                    </w:rPr>
                  </w:pPr>
                </w:p>
              </w:tc>
            </w:tr>
          </w:tbl>
          <w:p>
            <w:pPr>
              <w:spacing w:line="432" w:lineRule="auto"/>
              <w:jc w:val="left"/>
              <w:rPr>
                <w:rFonts w:hint="eastAsia" w:ascii="宋体" w:hAnsi="宋体" w:eastAsia="宋体" w:cs="宋体"/>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w:t>
                        </w:r>
                        <w:r>
                          <w:rPr>
                            <w:rStyle w:val="4"/>
                            <w:rFonts w:hint="default" w:ascii="Arial" w:hAnsi="Arial" w:eastAsia="宋体" w:cs="Arial"/>
                            <w:sz w:val="24"/>
                            <w:szCs w:val="24"/>
                            <w:bdr w:val="none" w:color="auto" w:sz="0" w:space="0"/>
                          </w:rPr>
                          <w:t>　一、关于比较信息的列报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对于利润表新增的“资产处置收益”行项目，企业应当按照《企业会计准则第30号——财务报表列报》等的相关规定，对可比期间的比较数据按照《通知》进行调整。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对于利润表新增的“其他收益”行项目，企业应当按照《企业会计准则第16号——政府补助》的相关规定，对2017年1月1日存在的政府补助采用未来适用法处理，无需对可比期间的比较数据进行调整。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w:t>
                        </w:r>
                        <w:r>
                          <w:rPr>
                            <w:rStyle w:val="4"/>
                            <w:rFonts w:hint="default" w:ascii="Arial" w:hAnsi="Arial" w:eastAsia="宋体" w:cs="Arial"/>
                            <w:sz w:val="24"/>
                            <w:szCs w:val="24"/>
                            <w:bdr w:val="none" w:color="auto" w:sz="0" w:space="0"/>
                          </w:rPr>
                          <w:t>二、关于非流动资产毁损报废损失的列报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根据《通知》，非流动资产毁损报废损失在“营业外支出”行项目反映。这里的“毁损报废损失”通常包括因自然灾害发生毁损、已丧失使用功能等原因而报废清理产生的损失。根据《企业会计准则第30号——财务报表列报》的相关规定，财务报表中直接计入当期利润的利得项目和损失项目的金额不得相互抵销。企业在不同交易中形成的非流动资产毁损报废利得和损失不得相互抵销，应分别在“营业外收入”行项目和“营业外支出”行项目进行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w:t>
                        </w:r>
                        <w:r>
                          <w:rPr>
                            <w:rStyle w:val="4"/>
                            <w:rFonts w:hint="default" w:ascii="Arial" w:hAnsi="Arial" w:eastAsia="宋体" w:cs="Arial"/>
                            <w:sz w:val="24"/>
                            <w:szCs w:val="24"/>
                            <w:bdr w:val="none" w:color="auto" w:sz="0" w:space="0"/>
                          </w:rPr>
                          <w:t>三、关于“一年内到期的非流动资产”项目的列报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根据《企业会计准则第30号——财务报表列报》的相关规定，资产应当分别流动资产和非流动资产在资产负债表中列示；资产满足该准则第十七条规定的，应当归类为流动资产。通常情况下，预计自资产负债表日起一年内变现的非流动资产应归类为流动资产，作为“一年内到期的非流动资产”列报。对于按照相关会计准则采用折旧（或摊销、折耗）方法进行后续计量的固定资产、无形资产、长期待摊费用等非流动资产，折旧（或摊销、折耗）年限（或期限）只剩一年或不足一年的，无需归类为流动资产，仍在各该非流动资产项目中列报，不转入“一年内到期的非流动资产”项目列报；预计在一年内（含一年）进行折旧（或摊销、折耗）的部分，也无需归类为流动资产，不转入“一年内到期的非流动资产”项目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w:t>
                        </w:r>
                        <w:r>
                          <w:rPr>
                            <w:rStyle w:val="4"/>
                            <w:rFonts w:hint="default" w:ascii="Arial" w:hAnsi="Arial" w:eastAsia="宋体" w:cs="Arial"/>
                            <w:sz w:val="24"/>
                            <w:szCs w:val="24"/>
                            <w:bdr w:val="none" w:color="auto" w:sz="0" w:space="0"/>
                          </w:rPr>
                          <w:t>四、关于合并利润表中净利润部分的列报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 xml:space="preserve">　　根据《企业会计准则第42号——持有待售的非流动资产、处置组和终止经营》的相关规定，企业应当在利润表中分别列示持续经营损益和终止经营损益。企业可以参考以下格式对合并利润表中的净利润部分进行列报： </w:t>
                        </w:r>
                      </w:p>
                      <w:tbl>
                        <w:tblPr>
                          <w:tblW w:w="7044"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5056"/>
                          <w:gridCol w:w="976"/>
                          <w:gridCol w:w="10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default" w:ascii="Arial" w:hAnsi="Arial" w:cs="Arial"/>
                                  <w:sz w:val="24"/>
                                  <w:szCs w:val="24"/>
                                </w:rPr>
                              </w:pPr>
                              <w:r>
                                <w:rPr>
                                  <w:rFonts w:hint="default" w:ascii="Arial" w:hAnsi="Arial" w:eastAsia="宋体" w:cs="Arial"/>
                                  <w:sz w:val="24"/>
                                  <w:szCs w:val="24"/>
                                  <w:bdr w:val="none" w:color="auto" w:sz="0" w:space="0"/>
                                </w:rPr>
                                <w:t>项     目</w:t>
                              </w:r>
                            </w:p>
                          </w:tc>
                          <w:tc>
                            <w:tcPr>
                              <w:tcW w:w="97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本期金额</w:t>
                              </w:r>
                            </w:p>
                          </w:tc>
                          <w:tc>
                            <w:tcPr>
                              <w:tcW w:w="10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上期金额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……（略）</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四、净利润（净亏损以“-”号填列）</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（一）按经营持续性分类：</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1. 持续经营净利润（净亏损以“-”号填列）</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2. 终止经营净利润（净亏损以“-”号填列）</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（二）按所有权归属分类：</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1. 少数股东损益（净亏损以“-”号填列）</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2. 归属于母公司股东的净利润（净亏损以“-”号填列）</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56"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default" w:ascii="Arial" w:hAnsi="Arial" w:cs="Arial"/>
                                  <w:sz w:val="24"/>
                                  <w:szCs w:val="24"/>
                                </w:rPr>
                              </w:pPr>
                              <w:r>
                                <w:rPr>
                                  <w:rFonts w:hint="default" w:ascii="Arial" w:hAnsi="Arial" w:eastAsia="宋体" w:cs="Arial"/>
                                  <w:sz w:val="24"/>
                                  <w:szCs w:val="24"/>
                                  <w:bdr w:val="none" w:color="auto" w:sz="0" w:space="0"/>
                                </w:rPr>
                                <w:t>……（略）</w:t>
                              </w:r>
                            </w:p>
                          </w:tc>
                          <w:tc>
                            <w:tcPr>
                              <w:tcW w:w="97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c>
                            <w:tcPr>
                              <w:tcW w:w="1012"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after="210" w:afterAutospacing="0" w:line="27" w:lineRule="atLeast"/>
                                <w:jc w:val="left"/>
                                <w:rPr>
                                  <w:rFonts w:hint="default" w:ascii="Arial" w:hAnsi="Arial" w:eastAsia="宋体" w:cs="Arial"/>
                                  <w:sz w:val="24"/>
                                  <w:szCs w:val="24"/>
                                </w:rPr>
                              </w:pPr>
                              <w:r>
                                <w:rPr>
                                  <w:rFonts w:hint="default" w:ascii="Arial" w:hAnsi="Arial" w:eastAsia="宋体" w:cs="Arial"/>
                                  <w:kern w:val="0"/>
                                  <w:sz w:val="24"/>
                                  <w:szCs w:val="24"/>
                                  <w:lang w:val="en-US" w:eastAsia="zh-CN" w:bidi="ar"/>
                                </w:rPr>
                                <w:t> </w:t>
                              </w:r>
                            </w:p>
                          </w:tc>
                        </w:tr>
                      </w:tbl>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p>
                    </w:tc>
                  </w:tr>
                </w:tbl>
                <w:p>
                  <w:pPr>
                    <w:jc w:val="center"/>
                    <w:rPr>
                      <w:rFonts w:hint="eastAsia" w:ascii="宋体" w:hAnsi="宋体" w:eastAsia="宋体" w:cs="宋体"/>
                      <w:sz w:val="18"/>
                      <w:szCs w:val="18"/>
                    </w:rPr>
                  </w:pPr>
                </w:p>
              </w:tc>
            </w:tr>
          </w:tbl>
          <w:p>
            <w:pPr>
              <w:spacing w:line="432" w:lineRule="auto"/>
              <w:jc w:val="center"/>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742E"/>
    <w:rsid w:val="35B07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firstLine="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 w:type="paragraph" w:customStyle="1" w:styleId="8">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zhiling100.com</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2018-04-19T06:34:00Z</dcterms:created>
  <dc:creator>zhiling100</dc:creator>
  <cp:lastModifiedBy>zhiling100</cp:lastModifiedBy>
  <dcterms:modified xsi:type="dcterms:W3CDTF">2018-04-19T06:35:04Z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